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1CB" w:rsidRPr="00674310" w:rsidRDefault="00674310" w:rsidP="007B4676">
      <w:pPr>
        <w:pStyle w:val="Padro"/>
        <w:spacing w:after="0"/>
        <w:jc w:val="center"/>
        <w:rPr>
          <w:rFonts w:ascii="Times New Roman" w:hAnsi="Times New Roman" w:cs="Times New Roman"/>
          <w:b/>
          <w:bCs/>
        </w:rPr>
      </w:pPr>
      <w:r w:rsidRPr="00674310">
        <w:rPr>
          <w:rFonts w:ascii="Times New Roman" w:hAnsi="Times New Roman" w:cs="Times New Roman"/>
          <w:b/>
        </w:rPr>
        <w:t>PROPRIEDADES PROTETIVAS SOBRE O DANO OXIDATIVO EM MITOCÔNDRIAS HEPÁTICAS</w:t>
      </w:r>
    </w:p>
    <w:p w:rsidR="007B4676" w:rsidRPr="007B4676" w:rsidRDefault="007B4676" w:rsidP="007B4676">
      <w:pPr>
        <w:pStyle w:val="Padro"/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8921CB" w:rsidRPr="00A767A5" w:rsidTr="00A767A5">
        <w:trPr>
          <w:trHeight w:val="602"/>
          <w:jc w:val="center"/>
        </w:trPr>
        <w:tc>
          <w:tcPr>
            <w:tcW w:w="966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21CB" w:rsidRPr="00540276" w:rsidRDefault="007626F9" w:rsidP="007B4676">
            <w:pPr>
              <w:pStyle w:val="Padro"/>
              <w:jc w:val="center"/>
              <w:rPr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</w:rPr>
              <w:t>OLIVEIRA, G.</w:t>
            </w:r>
            <w:r w:rsidR="004C1BC1">
              <w:rPr>
                <w:rFonts w:ascii="Times New Roman" w:eastAsia="Times New Roman" w:hAnsi="Times New Roman" w:cs="Times New Roman"/>
              </w:rPr>
              <w:t>S.</w:t>
            </w:r>
            <w:r w:rsidR="004C1BC1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r w:rsidR="00540276">
              <w:rPr>
                <w:rFonts w:ascii="Times New Roman" w:eastAsia="Times New Roman" w:hAnsi="Times New Roman" w:cs="Times New Roman"/>
              </w:rPr>
              <w:t>,</w:t>
            </w:r>
            <w:r w:rsidR="00540276" w:rsidRPr="0031405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JORGE</w:t>
            </w:r>
            <w:r w:rsidR="00B203EF">
              <w:rPr>
                <w:rFonts w:ascii="Times New Roman" w:hAnsi="Times New Roman" w:cs="Times New Roman"/>
              </w:rPr>
              <w:t xml:space="preserve">, </w:t>
            </w:r>
            <w:r w:rsidR="00B203EF" w:rsidRPr="000F4890">
              <w:rPr>
                <w:rFonts w:ascii="Times New Roman" w:hAnsi="Times New Roman" w:cs="Times New Roman"/>
              </w:rPr>
              <w:t>C. L</w:t>
            </w:r>
            <w:r w:rsidR="00540276">
              <w:rPr>
                <w:rFonts w:ascii="Times New Roman" w:eastAsia="Times New Roman" w:hAnsi="Times New Roman" w:cs="Times New Roman"/>
              </w:rPr>
              <w:t>.</w:t>
            </w:r>
            <w:r w:rsidR="007C2A92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  <w:p w:rsidR="007C2A92" w:rsidRDefault="006029E5" w:rsidP="00540276">
            <w:pPr>
              <w:pStyle w:val="Padro"/>
              <w:spacing w:after="0"/>
              <w:jc w:val="center"/>
              <w:rPr>
                <w:rStyle w:val="LinkdaInternet"/>
                <w:rFonts w:ascii="Times New Roman" w:eastAsia="Times New Roman" w:hAnsi="Times New Roman" w:cs="Times New Roman"/>
              </w:rPr>
            </w:pPr>
            <w:r w:rsidRPr="0031405A">
              <w:rPr>
                <w:rFonts w:ascii="Times New Roman" w:eastAsia="Times New Roman" w:hAnsi="Times New Roman" w:cs="Times New Roman"/>
                <w:vertAlign w:val="superscript"/>
              </w:rPr>
              <w:t xml:space="preserve">1 </w:t>
            </w:r>
            <w:r w:rsidR="00450528" w:rsidRPr="00450528">
              <w:rPr>
                <w:rFonts w:ascii="Times New Roman" w:eastAsiaTheme="minorEastAsia" w:hAnsi="Times New Roman" w:cs="Times New Roman"/>
                <w:lang w:eastAsia="pt-BR"/>
              </w:rPr>
              <w:t>Instituto Federal de Educação, Ciência e Tecnologia de Mato Grosso</w:t>
            </w:r>
            <w:r w:rsidR="00D753E2">
              <w:rPr>
                <w:rFonts w:ascii="Times New Roman" w:eastAsiaTheme="minorEastAsia" w:hAnsi="Times New Roman" w:cs="Times New Roman"/>
                <w:lang w:eastAsia="pt-BR"/>
              </w:rPr>
              <w:t>.......</w:t>
            </w:r>
            <w:r w:rsidR="007739D1" w:rsidRPr="0031405A">
              <w:rPr>
                <w:rFonts w:ascii="Times New Roman" w:eastAsiaTheme="minorEastAsia" w:hAnsi="Times New Roman" w:cs="Times New Roman"/>
                <w:lang w:eastAsia="pt-BR"/>
              </w:rPr>
              <w:t xml:space="preserve"> –</w:t>
            </w:r>
            <w:r w:rsidRPr="0031405A">
              <w:rPr>
                <w:rFonts w:ascii="Times New Roman" w:eastAsia="Times New Roman" w:hAnsi="Times New Roman" w:cs="Times New Roman"/>
                <w:vertAlign w:val="superscript"/>
              </w:rPr>
              <w:t>*</w:t>
            </w:r>
            <w:r w:rsidRPr="0031405A">
              <w:rPr>
                <w:rFonts w:ascii="Times New Roman" w:eastAsia="Times New Roman" w:hAnsi="Times New Roman" w:cs="Times New Roman"/>
              </w:rPr>
              <w:t xml:space="preserve">e-mail: </w:t>
            </w:r>
            <w:r w:rsidR="00D753E2">
              <w:t>@gmail.com</w:t>
            </w:r>
            <w:r w:rsidR="007C2A92">
              <w:t xml:space="preserve"> </w:t>
            </w:r>
            <w:r w:rsidR="00540276">
              <w:rPr>
                <w:rStyle w:val="LinkdaInternet"/>
                <w:rFonts w:ascii="Times New Roman" w:eastAsia="Times New Roman" w:hAnsi="Times New Roman" w:cs="Times New Roman"/>
              </w:rPr>
              <w:t xml:space="preserve"> </w:t>
            </w:r>
          </w:p>
          <w:p w:rsidR="008921CB" w:rsidRPr="00540276" w:rsidRDefault="008921CB" w:rsidP="006619D5">
            <w:pPr>
              <w:pStyle w:val="Padro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921CB" w:rsidRPr="007E5DD1" w:rsidRDefault="005B2065" w:rsidP="00FA14BA">
      <w:pPr>
        <w:pStyle w:val="Padro"/>
        <w:spacing w:after="0"/>
        <w:jc w:val="both"/>
        <w:rPr>
          <w:rFonts w:ascii="Times New Roman" w:hAnsi="Times New Roman" w:cs="Times New Roman"/>
        </w:rPr>
      </w:pPr>
      <w:r w:rsidRPr="007E5DD1">
        <w:rPr>
          <w:rFonts w:ascii="Times New Roman" w:hAnsi="Times New Roman" w:cs="Times New Roman"/>
          <w:b/>
          <w:bCs/>
        </w:rPr>
        <w:t>Introdução</w:t>
      </w:r>
    </w:p>
    <w:p w:rsidR="00540276" w:rsidRDefault="00540276" w:rsidP="00FA14BA">
      <w:pPr>
        <w:spacing w:after="0"/>
        <w:ind w:right="-1" w:firstLine="708"/>
        <w:contextualSpacing/>
        <w:jc w:val="both"/>
      </w:pPr>
    </w:p>
    <w:p w:rsidR="008921CB" w:rsidRDefault="00470149" w:rsidP="00FA14BA">
      <w:pPr>
        <w:spacing w:after="0"/>
        <w:ind w:right="-1" w:firstLine="708"/>
        <w:contextualSpacing/>
        <w:jc w:val="both"/>
      </w:pPr>
      <w:r w:rsidRPr="00971C83">
        <w:t>Estudos desenvolvidos com garcinielliptona FC em vários modelos experimentais demostraram ausência de toxicidade pré-clínica e promissoras atividades farmacológicas como ant</w:t>
      </w:r>
      <w:r>
        <w:t>iconvulsivante e antiparasitária</w:t>
      </w:r>
      <w:r w:rsidR="00AC06A9">
        <w:t xml:space="preserve"> (</w:t>
      </w:r>
      <w:r w:rsidR="00AC06A9" w:rsidRPr="000F4890">
        <w:t>SILVA</w:t>
      </w:r>
      <w:r w:rsidR="00AC06A9">
        <w:t xml:space="preserve"> et al., 2016)</w:t>
      </w:r>
      <w:r>
        <w:t xml:space="preserve">. </w:t>
      </w:r>
      <w:r w:rsidRPr="00535C50">
        <w:t xml:space="preserve">O presente trabalho tem como objetivo descrever o potencial antioxidante da garcinielliptona FC </w:t>
      </w:r>
      <w:r>
        <w:t xml:space="preserve">(GFC) </w:t>
      </w:r>
      <w:r w:rsidRPr="00535C50">
        <w:t xml:space="preserve">pela inibição do dano oxidativo induzido pelo </w:t>
      </w:r>
      <w:bookmarkStart w:id="0" w:name="OLE_LINK14"/>
      <w:r w:rsidR="00674310" w:rsidRPr="000A4202">
        <w:t>Fe</w:t>
      </w:r>
      <w:r w:rsidR="00674310" w:rsidRPr="00837064">
        <w:rPr>
          <w:vertAlign w:val="superscript"/>
        </w:rPr>
        <w:t>2+</w:t>
      </w:r>
      <w:r w:rsidR="00674310">
        <w:t>/</w:t>
      </w:r>
      <w:r w:rsidR="00674310" w:rsidRPr="000A4202">
        <w:t>citrato</w:t>
      </w:r>
      <w:r w:rsidRPr="00535C50">
        <w:t xml:space="preserve"> </w:t>
      </w:r>
      <w:bookmarkEnd w:id="0"/>
      <w:r w:rsidR="00674310">
        <w:t xml:space="preserve">em </w:t>
      </w:r>
      <w:r w:rsidR="00674310" w:rsidRPr="00351CC3">
        <w:t>mitocôndrias</w:t>
      </w:r>
      <w:r w:rsidR="00674310">
        <w:t xml:space="preserve"> hepáticas</w:t>
      </w:r>
      <w:r w:rsidR="00BE5199">
        <w:t>.</w:t>
      </w:r>
      <w:r w:rsidR="006029E5">
        <w:t xml:space="preserve"> </w:t>
      </w:r>
      <w:r w:rsidR="00BE5199">
        <w:rPr>
          <w:b/>
        </w:rPr>
        <w:t xml:space="preserve"> </w:t>
      </w:r>
    </w:p>
    <w:p w:rsidR="00540276" w:rsidRDefault="00540276" w:rsidP="00FA14BA">
      <w:pPr>
        <w:pStyle w:val="Padro"/>
        <w:spacing w:after="0"/>
        <w:jc w:val="both"/>
        <w:rPr>
          <w:rFonts w:ascii="Times New Roman" w:hAnsi="Times New Roman" w:cs="Times New Roman"/>
          <w:b/>
        </w:rPr>
      </w:pPr>
    </w:p>
    <w:p w:rsidR="00540276" w:rsidRDefault="00612F78" w:rsidP="00540276">
      <w:pPr>
        <w:pStyle w:val="Padro"/>
        <w:spacing w:after="0"/>
        <w:jc w:val="both"/>
      </w:pPr>
      <w:r>
        <w:rPr>
          <w:rFonts w:ascii="Times New Roman" w:hAnsi="Times New Roman" w:cs="Times New Roman"/>
          <w:b/>
        </w:rPr>
        <w:t>Material e Métodos</w:t>
      </w:r>
    </w:p>
    <w:p w:rsidR="00540276" w:rsidRDefault="00540276" w:rsidP="00055C6A">
      <w:pPr>
        <w:spacing w:after="0"/>
        <w:ind w:firstLine="708"/>
        <w:jc w:val="both"/>
      </w:pPr>
    </w:p>
    <w:p w:rsidR="00540276" w:rsidRPr="00111E85" w:rsidRDefault="007D7B52" w:rsidP="00111E85">
      <w:pPr>
        <w:spacing w:after="0"/>
        <w:ind w:firstLine="708"/>
        <w:jc w:val="both"/>
      </w:pPr>
      <w:r>
        <w:t xml:space="preserve">O </w:t>
      </w:r>
      <w:r w:rsidRPr="00131606">
        <w:t>GFC</w:t>
      </w:r>
      <w:r w:rsidRPr="00651867">
        <w:t xml:space="preserve"> </w:t>
      </w:r>
      <w:r>
        <w:t>foi isolado e caracterizado conform</w:t>
      </w:r>
      <w:r w:rsidR="0001613A">
        <w:t>e descrito em estudo anterior (</w:t>
      </w:r>
      <w:r w:rsidR="00AC06A9" w:rsidRPr="000F4890">
        <w:t>SILVA</w:t>
      </w:r>
      <w:r w:rsidR="00AC06A9">
        <w:t xml:space="preserve"> et al., 2016</w:t>
      </w:r>
      <w:r w:rsidR="0001613A">
        <w:t xml:space="preserve">). </w:t>
      </w:r>
      <w:r w:rsidR="00111E85" w:rsidRPr="008965DB">
        <w:t xml:space="preserve">As mitocôndrias foram isoladas utilizando sucessivas centrifugações de acordo com o método descrito por </w:t>
      </w:r>
      <w:hyperlink w:anchor="_ENREF_1" w:tooltip="Maioli, 2010 #1807" w:history="1">
        <w:r w:rsidR="00AE2A7F" w:rsidRPr="008965DB">
          <w:rPr>
            <w:noProof/>
          </w:rPr>
          <w:t>Maioli et al</w:t>
        </w:r>
        <w:r w:rsidR="00AE2A7F">
          <w:rPr>
            <w:noProof/>
          </w:rPr>
          <w:t>.</w:t>
        </w:r>
        <w:r w:rsidR="00AE2A7F" w:rsidRPr="008965DB">
          <w:rPr>
            <w:noProof/>
          </w:rPr>
          <w:t xml:space="preserve"> (2010</w:t>
        </w:r>
      </w:hyperlink>
      <w:r w:rsidR="00AE2A7F" w:rsidRPr="008965DB">
        <w:rPr>
          <w:noProof/>
        </w:rPr>
        <w:t>)</w:t>
      </w:r>
      <w:r w:rsidR="00111E85" w:rsidRPr="008965DB">
        <w:t xml:space="preserve"> a partir da amostra de fígado de </w:t>
      </w:r>
      <w:r w:rsidR="00111E85" w:rsidRPr="008965DB">
        <w:rPr>
          <w:i/>
        </w:rPr>
        <w:t>Ratos Wistar</w:t>
      </w:r>
      <w:r w:rsidR="00111E85" w:rsidRPr="008965DB">
        <w:t xml:space="preserve"> fêmeas pesando entre 180-220 g.</w:t>
      </w:r>
      <w:r w:rsidR="00111E85">
        <w:t xml:space="preserve"> </w:t>
      </w:r>
      <w:r w:rsidR="00111E85" w:rsidRPr="009F6B7F">
        <w:t>O</w:t>
      </w:r>
      <w:r w:rsidR="00111E85" w:rsidRPr="008965DB">
        <w:rPr>
          <w:i/>
        </w:rPr>
        <w:t xml:space="preserve"> Swelling</w:t>
      </w:r>
      <w:r w:rsidR="00111E85" w:rsidRPr="008965DB">
        <w:t xml:space="preserve"> mitocondrial foi avaliado de acordo com o método de </w:t>
      </w:r>
      <w:hyperlink w:anchor="_ENREF_1" w:tooltip="Maioli, 2010 #1807" w:history="1">
        <w:r w:rsidR="00111E85" w:rsidRPr="008965DB">
          <w:rPr>
            <w:noProof/>
          </w:rPr>
          <w:t>Maioli et al</w:t>
        </w:r>
        <w:r w:rsidR="00111E85">
          <w:rPr>
            <w:noProof/>
          </w:rPr>
          <w:t>.</w:t>
        </w:r>
        <w:r w:rsidR="00111E85" w:rsidRPr="008965DB">
          <w:rPr>
            <w:noProof/>
          </w:rPr>
          <w:t xml:space="preserve"> (2010</w:t>
        </w:r>
      </w:hyperlink>
      <w:r w:rsidR="00111E85" w:rsidRPr="008965DB">
        <w:rPr>
          <w:noProof/>
        </w:rPr>
        <w:t>)</w:t>
      </w:r>
      <w:r w:rsidR="00111E85" w:rsidRPr="008965DB">
        <w:t xml:space="preserve"> pela diminuição na intensidade da turbidez. </w:t>
      </w:r>
      <w:r w:rsidR="00111E85">
        <w:t>Resumidamente, a</w:t>
      </w:r>
      <w:r w:rsidR="00111E85" w:rsidRPr="008965DB">
        <w:t xml:space="preserve">s mitocôndrias (0,3 mg/mL) foram </w:t>
      </w:r>
      <w:proofErr w:type="gramStart"/>
      <w:r w:rsidR="00111E85" w:rsidRPr="008965DB">
        <w:t>diluídos</w:t>
      </w:r>
      <w:proofErr w:type="gramEnd"/>
      <w:r w:rsidR="00111E85" w:rsidRPr="008965DB">
        <w:t xml:space="preserve"> em 2000 μL de meio de incubação e logo em seguida misturado com </w:t>
      </w:r>
      <w:r w:rsidR="00111E85" w:rsidRPr="0042065E">
        <w:t>300 μL da garcinielliptona FC (0,1-3 mM) e</w:t>
      </w:r>
      <w:r w:rsidR="00111E85" w:rsidRPr="008965DB">
        <w:t xml:space="preserve"> 500 μL de 150 μM de FeSO</w:t>
      </w:r>
      <w:r w:rsidR="00111E85" w:rsidRPr="008965DB">
        <w:rPr>
          <w:vertAlign w:val="subscript"/>
        </w:rPr>
        <w:t xml:space="preserve">4 </w:t>
      </w:r>
      <w:r w:rsidR="00111E85" w:rsidRPr="008965DB">
        <w:t>(2 mM de citrato de sódio)</w:t>
      </w:r>
      <w:r w:rsidR="00111E85">
        <w:t xml:space="preserve">. </w:t>
      </w:r>
      <w:r w:rsidR="00111E85" w:rsidRPr="008965DB">
        <w:t xml:space="preserve">Alterações nas absorbâncias foram imediatamente monitorados utilizando um espectrofotómetro em 520 nm </w:t>
      </w:r>
      <w:r w:rsidR="00111E85">
        <w:t>durante</w:t>
      </w:r>
      <w:r w:rsidR="00111E85" w:rsidRPr="008965DB">
        <w:t xml:space="preserve"> </w:t>
      </w:r>
      <w:r w:rsidR="00111E85">
        <w:t>600 segundos com intervalos de 120 segundos</w:t>
      </w:r>
      <w:r w:rsidR="00111E85" w:rsidRPr="008965DB">
        <w:t>.</w:t>
      </w:r>
      <w:r w:rsidR="00111E85">
        <w:t xml:space="preserve"> </w:t>
      </w:r>
      <w:r w:rsidR="00EC33BE">
        <w:t>Todas as etapas</w:t>
      </w:r>
      <w:r w:rsidR="00EC33BE" w:rsidRPr="003F2F1A">
        <w:t xml:space="preserve"> experimentos </w:t>
      </w:r>
      <w:r w:rsidR="00EC33BE">
        <w:t xml:space="preserve">em animais </w:t>
      </w:r>
      <w:r w:rsidR="00EC33BE" w:rsidRPr="003F2F1A">
        <w:t xml:space="preserve">foram </w:t>
      </w:r>
      <w:r w:rsidR="00111E85" w:rsidRPr="003F2F1A">
        <w:t>aprovadas</w:t>
      </w:r>
      <w:r w:rsidR="00EC33BE" w:rsidRPr="003F2F1A">
        <w:t xml:space="preserve"> pelo Comitê de Ética em Experimentação Animal da Universidade Federal do Piauí </w:t>
      </w:r>
      <w:r w:rsidR="00EC33BE" w:rsidRPr="00131606">
        <w:t>(CEEA/UFPI # 078/2012).</w:t>
      </w:r>
      <w:r w:rsidR="00EC33BE">
        <w:t xml:space="preserve"> </w:t>
      </w:r>
      <w:r w:rsidR="00540276" w:rsidRPr="00663E77">
        <w:t>Os valores</w:t>
      </w:r>
      <w:r w:rsidR="00540276">
        <w:t xml:space="preserve"> foram representados como a média ± E.P.M. dos </w:t>
      </w:r>
      <w:r w:rsidR="00540276" w:rsidRPr="00663E77">
        <w:t>experimentos em duplicata</w:t>
      </w:r>
      <w:r w:rsidR="00540276">
        <w:t xml:space="preserve"> e comparados utilizando ANOVA, seguido do </w:t>
      </w:r>
      <w:r w:rsidR="00540276" w:rsidRPr="008C3144">
        <w:rPr>
          <w:i/>
        </w:rPr>
        <w:t>Neuman-Keuls</w:t>
      </w:r>
      <w:r w:rsidR="00540276" w:rsidRPr="00663E77">
        <w:t xml:space="preserve"> como</w:t>
      </w:r>
      <w:r w:rsidR="00540276" w:rsidRPr="00663E77">
        <w:rPr>
          <w:i/>
        </w:rPr>
        <w:t xml:space="preserve"> post hoc </w:t>
      </w:r>
      <w:r w:rsidR="00540276" w:rsidRPr="00663E77">
        <w:t>teste</w:t>
      </w:r>
      <w:r w:rsidR="00540276">
        <w:t>. Os resultados foram considerados significativos quando p&lt;0,05.</w:t>
      </w:r>
    </w:p>
    <w:p w:rsidR="00540276" w:rsidRDefault="00540276" w:rsidP="00540276">
      <w:pPr>
        <w:pStyle w:val="Padro"/>
        <w:spacing w:after="0"/>
        <w:jc w:val="both"/>
        <w:rPr>
          <w:rFonts w:ascii="Times New Roman" w:hAnsi="Times New Roman" w:cs="Times New Roman"/>
          <w:b/>
        </w:rPr>
      </w:pPr>
    </w:p>
    <w:p w:rsidR="00540276" w:rsidRPr="00540276" w:rsidRDefault="006029E5" w:rsidP="00540276">
      <w:pPr>
        <w:pStyle w:val="Padro"/>
        <w:spacing w:after="0"/>
        <w:jc w:val="both"/>
      </w:pPr>
      <w:r>
        <w:rPr>
          <w:rFonts w:ascii="Times New Roman" w:hAnsi="Times New Roman" w:cs="Times New Roman"/>
          <w:b/>
        </w:rPr>
        <w:t xml:space="preserve">Resultados </w:t>
      </w:r>
      <w:r w:rsidR="00D753E2">
        <w:rPr>
          <w:rFonts w:ascii="Times New Roman" w:hAnsi="Times New Roman" w:cs="Times New Roman"/>
          <w:b/>
        </w:rPr>
        <w:t>esperados</w:t>
      </w:r>
    </w:p>
    <w:p w:rsidR="00540276" w:rsidRDefault="00540276" w:rsidP="000B2A83">
      <w:pPr>
        <w:spacing w:after="0"/>
        <w:jc w:val="both"/>
        <w:rPr>
          <w:rFonts w:eastAsia="Arial Unicode MS"/>
          <w:shd w:val="clear" w:color="auto" w:fill="FFFFFF"/>
        </w:rPr>
      </w:pPr>
      <w:r>
        <w:rPr>
          <w:rFonts w:eastAsia="Arial Unicode MS"/>
          <w:shd w:val="clear" w:color="auto" w:fill="FFFFFF"/>
        </w:rPr>
        <w:tab/>
      </w:r>
    </w:p>
    <w:p w:rsidR="00B70B2A" w:rsidRDefault="00540276" w:rsidP="000B2A83">
      <w:pPr>
        <w:spacing w:after="0"/>
        <w:jc w:val="both"/>
      </w:pPr>
      <w:r>
        <w:rPr>
          <w:rFonts w:eastAsia="Arial Unicode MS"/>
          <w:shd w:val="clear" w:color="auto" w:fill="FFFFFF"/>
        </w:rPr>
        <w:tab/>
      </w:r>
      <w:r w:rsidR="005D1A88" w:rsidRPr="003012D9">
        <w:t>O</w:t>
      </w:r>
      <w:r w:rsidR="005D1A88">
        <w:t xml:space="preserve">s resultados apresentados na </w:t>
      </w:r>
      <w:r w:rsidR="005D1A88">
        <w:rPr>
          <w:b/>
        </w:rPr>
        <w:t xml:space="preserve">Figura 1A </w:t>
      </w:r>
      <w:r w:rsidR="005D1A88">
        <w:t>demonstraram que os valores do</w:t>
      </w:r>
      <w:r w:rsidR="005D1A88" w:rsidRPr="003012D9">
        <w:t xml:space="preserve"> </w:t>
      </w:r>
      <w:r w:rsidR="005D1A88" w:rsidRPr="000A4202">
        <w:rPr>
          <w:i/>
        </w:rPr>
        <w:t>swelling</w:t>
      </w:r>
      <w:r w:rsidR="005D1A88" w:rsidRPr="000A4202">
        <w:t xml:space="preserve"> mitocondrial</w:t>
      </w:r>
      <w:r w:rsidR="005D1A88" w:rsidRPr="003012D9">
        <w:t xml:space="preserve"> no controle </w:t>
      </w:r>
      <w:r w:rsidR="005D1A88">
        <w:t xml:space="preserve">e nas concentrações do </w:t>
      </w:r>
      <w:r w:rsidR="005D1A88" w:rsidRPr="00372449">
        <w:t>garcinielliptona FC</w:t>
      </w:r>
      <w:r w:rsidR="005D1A88" w:rsidRPr="00C13779">
        <w:t xml:space="preserve"> </w:t>
      </w:r>
      <w:r w:rsidR="005D1A88">
        <w:t>(0,1-3,0 mM) permaneceram estáveis durante os 10 minutos de avaliação e sem diferenças significativas (</w:t>
      </w:r>
      <w:r w:rsidR="005D1A88" w:rsidRPr="0097456F">
        <w:t>p</w:t>
      </w:r>
      <w:r w:rsidR="005D1A88">
        <w:t>&gt;</w:t>
      </w:r>
      <w:r w:rsidR="005D1A88" w:rsidRPr="0097456F">
        <w:t>0,05</w:t>
      </w:r>
      <w:r w:rsidR="005D1A88">
        <w:t xml:space="preserve">). Esses resultados sugere que o </w:t>
      </w:r>
      <w:r w:rsidR="005D1A88" w:rsidRPr="00372449">
        <w:t>garcinielliptona FC</w:t>
      </w:r>
      <w:r w:rsidR="005D1A88">
        <w:t xml:space="preserve"> não perturba a homeostase da permeabilidade da membrana mitocondrial</w:t>
      </w:r>
      <w:r w:rsidR="005D1A88" w:rsidRPr="000A4202">
        <w:t>.</w:t>
      </w:r>
      <w:r w:rsidR="005D1A88">
        <w:t xml:space="preserve"> Resultado semelhante </w:t>
      </w:r>
      <w:r w:rsidR="005D1A88" w:rsidRPr="003012D9">
        <w:t xml:space="preserve">no controle </w:t>
      </w:r>
      <w:r w:rsidR="005D1A88">
        <w:t xml:space="preserve">da </w:t>
      </w:r>
      <w:r w:rsidR="005D1A88">
        <w:rPr>
          <w:b/>
        </w:rPr>
        <w:t>Figura 1B</w:t>
      </w:r>
      <w:r w:rsidR="005D1A88">
        <w:t xml:space="preserve"> foi obtido e o</w:t>
      </w:r>
      <w:r w:rsidR="005D1A88" w:rsidRPr="003012D9">
        <w:t xml:space="preserve"> </w:t>
      </w:r>
      <w:r w:rsidR="005D1A88" w:rsidRPr="000A4202">
        <w:rPr>
          <w:i/>
        </w:rPr>
        <w:t>swelling</w:t>
      </w:r>
      <w:r w:rsidR="005D1A88" w:rsidRPr="000A4202">
        <w:t xml:space="preserve"> mitocondrial</w:t>
      </w:r>
      <w:r w:rsidR="005D1A88" w:rsidRPr="003012D9">
        <w:t xml:space="preserve"> </w:t>
      </w:r>
      <w:r w:rsidR="005D1A88">
        <w:t>permaneceu estável durante 10 minutos de estudo, sendo que ess</w:t>
      </w:r>
      <w:r w:rsidR="005D1A88" w:rsidRPr="00021305">
        <w:t xml:space="preserve">e valor </w:t>
      </w:r>
      <w:r w:rsidR="005D1A88" w:rsidRPr="00A236DD">
        <w:t xml:space="preserve">diminuiu </w:t>
      </w:r>
      <w:r w:rsidR="005D1A88">
        <w:t>significativamente</w:t>
      </w:r>
      <w:r w:rsidR="005D1A88" w:rsidRPr="00A138CE">
        <w:t xml:space="preserve"> </w:t>
      </w:r>
      <w:r w:rsidR="005D1A88" w:rsidRPr="00A138CE">
        <w:rPr>
          <w:rFonts w:eastAsia="Arial Unicode MS"/>
          <w:shd w:val="clear" w:color="auto" w:fill="FFFFFF"/>
        </w:rPr>
        <w:t xml:space="preserve">após </w:t>
      </w:r>
      <w:bookmarkStart w:id="1" w:name="OLE_LINK23"/>
      <w:r w:rsidR="005D1A88">
        <w:rPr>
          <w:rFonts w:eastAsia="Arial Unicode MS"/>
          <w:shd w:val="clear" w:color="auto" w:fill="FFFFFF"/>
        </w:rPr>
        <w:t xml:space="preserve">o tratamento com o </w:t>
      </w:r>
      <w:r w:rsidR="005D1A88" w:rsidRPr="000A4202">
        <w:t xml:space="preserve">complexo </w:t>
      </w:r>
      <w:r w:rsidR="005D1A88">
        <w:t>oxidante</w:t>
      </w:r>
      <w:r w:rsidR="005D1A88" w:rsidRPr="000A4202">
        <w:t xml:space="preserve"> </w:t>
      </w:r>
      <w:bookmarkStart w:id="2" w:name="OLE_LINK34"/>
      <w:r w:rsidR="005D1A88" w:rsidRPr="004420C4">
        <w:t>Fe</w:t>
      </w:r>
      <w:r w:rsidR="005D1A88" w:rsidRPr="004420C4">
        <w:rPr>
          <w:vertAlign w:val="superscript"/>
        </w:rPr>
        <w:t>2+</w:t>
      </w:r>
      <w:r w:rsidR="005D1A88">
        <w:t>/</w:t>
      </w:r>
      <w:r w:rsidR="005D1A88" w:rsidRPr="004420C4">
        <w:t>citrato</w:t>
      </w:r>
      <w:bookmarkEnd w:id="1"/>
      <w:bookmarkEnd w:id="2"/>
      <w:r w:rsidR="005D1A88">
        <w:t xml:space="preserve"> (</w:t>
      </w:r>
      <w:r w:rsidR="005D1A88" w:rsidRPr="0097456F">
        <w:t>p&lt;0,05</w:t>
      </w:r>
      <w:r w:rsidR="005D1A88">
        <w:t>)</w:t>
      </w:r>
      <w:r w:rsidR="005D1A88" w:rsidRPr="000A4202">
        <w:t>.</w:t>
      </w:r>
      <w:r w:rsidR="005D1A88">
        <w:t xml:space="preserve"> Já o tratamento com </w:t>
      </w:r>
      <w:r w:rsidR="005D1A88" w:rsidRPr="00372449">
        <w:t>garcinielliptona FC</w:t>
      </w:r>
      <w:r w:rsidR="005D1A88">
        <w:t xml:space="preserve"> n</w:t>
      </w:r>
      <w:r w:rsidR="005D1A88" w:rsidRPr="00C13779">
        <w:t xml:space="preserve">as concentrações de </w:t>
      </w:r>
      <w:r w:rsidR="005D1A88">
        <w:t>0,1, 0,3, 0,7, 1,5 e 3,0 mM</w:t>
      </w:r>
      <w:r w:rsidR="005D1A88" w:rsidRPr="00C53F8F">
        <w:t xml:space="preserve"> </w:t>
      </w:r>
      <w:r w:rsidR="005D1A88">
        <w:t xml:space="preserve">preveniu significativamente a </w:t>
      </w:r>
      <w:bookmarkStart w:id="3" w:name="OLE_LINK35"/>
      <w:r w:rsidR="005D1A88">
        <w:t>redução</w:t>
      </w:r>
      <w:r w:rsidR="005D1A88" w:rsidRPr="00C53F8F">
        <w:t xml:space="preserve"> </w:t>
      </w:r>
      <w:bookmarkStart w:id="4" w:name="OLE_LINK21"/>
      <w:r w:rsidR="005D1A88">
        <w:t xml:space="preserve">do </w:t>
      </w:r>
      <w:r w:rsidR="005D1A88" w:rsidRPr="000A4202">
        <w:rPr>
          <w:i/>
        </w:rPr>
        <w:t>swelling</w:t>
      </w:r>
      <w:r w:rsidR="005D1A88" w:rsidRPr="000A4202">
        <w:t xml:space="preserve"> mitocondrial</w:t>
      </w:r>
      <w:bookmarkEnd w:id="3"/>
      <w:bookmarkEnd w:id="4"/>
      <w:r w:rsidR="005D1A88">
        <w:t xml:space="preserve"> </w:t>
      </w:r>
      <w:r w:rsidR="005D1A88" w:rsidRPr="00C53F8F">
        <w:t>q</w:t>
      </w:r>
      <w:r w:rsidR="005D1A88">
        <w:t xml:space="preserve">uando comparado com os resultados do </w:t>
      </w:r>
      <w:bookmarkStart w:id="5" w:name="OLE_LINK12"/>
      <w:r w:rsidR="005D1A88" w:rsidRPr="000A4202">
        <w:t>Fe</w:t>
      </w:r>
      <w:r w:rsidR="005D1A88" w:rsidRPr="00837064">
        <w:rPr>
          <w:vertAlign w:val="superscript"/>
        </w:rPr>
        <w:t>2+</w:t>
      </w:r>
      <w:r w:rsidR="005D1A88">
        <w:t>/</w:t>
      </w:r>
      <w:r w:rsidR="005D1A88" w:rsidRPr="000A4202">
        <w:t>citrato</w:t>
      </w:r>
      <w:bookmarkEnd w:id="5"/>
      <w:r w:rsidR="005D1A88">
        <w:t xml:space="preserve"> </w:t>
      </w:r>
      <w:bookmarkStart w:id="6" w:name="OLE_LINK69"/>
      <w:r w:rsidR="005D1A88">
        <w:t>(</w:t>
      </w:r>
      <w:r w:rsidR="005D1A88" w:rsidRPr="0097456F">
        <w:t>p&lt;0,05</w:t>
      </w:r>
      <w:bookmarkEnd w:id="6"/>
      <w:r w:rsidR="005D1A88">
        <w:t xml:space="preserve">). O </w:t>
      </w:r>
      <w:bookmarkStart w:id="7" w:name="_GoBack"/>
      <w:bookmarkEnd w:id="7"/>
      <w:r w:rsidR="005D1A88">
        <w:lastRenderedPageBreak/>
        <w:t>Trolox na</w:t>
      </w:r>
      <w:r w:rsidR="005D1A88" w:rsidRPr="00B47806">
        <w:t xml:space="preserve"> concentração </w:t>
      </w:r>
      <w:r w:rsidR="005D1A88">
        <w:t xml:space="preserve">de 3,0 mM também reduziu o </w:t>
      </w:r>
      <w:bookmarkStart w:id="8" w:name="OLE_LINK83"/>
      <w:r w:rsidR="005D1A88" w:rsidRPr="000A4202">
        <w:rPr>
          <w:i/>
        </w:rPr>
        <w:t>swelling</w:t>
      </w:r>
      <w:r w:rsidR="005D1A88" w:rsidRPr="000A4202">
        <w:t xml:space="preserve"> mitocondrial</w:t>
      </w:r>
      <w:bookmarkEnd w:id="8"/>
      <w:r w:rsidR="005D1A88">
        <w:t xml:space="preserve"> induzida pelo </w:t>
      </w:r>
      <w:r w:rsidR="005D1A88" w:rsidRPr="000A4202">
        <w:t>Fe</w:t>
      </w:r>
      <w:r w:rsidR="005D1A88" w:rsidRPr="00837064">
        <w:rPr>
          <w:vertAlign w:val="superscript"/>
        </w:rPr>
        <w:t>2+</w:t>
      </w:r>
      <w:r w:rsidR="005D1A88" w:rsidRPr="000A4202">
        <w:t>citrato</w:t>
      </w:r>
      <w:r w:rsidR="005D1A88">
        <w:t xml:space="preserve"> (</w:t>
      </w:r>
      <w:r w:rsidR="005D1A88" w:rsidRPr="0097456F">
        <w:t>p&lt;0,05</w:t>
      </w:r>
      <w:r w:rsidR="005D1A88">
        <w:t>)</w:t>
      </w:r>
      <w:r w:rsidR="005D1A88" w:rsidRPr="00B47806">
        <w:t>.</w:t>
      </w:r>
    </w:p>
    <w:p w:rsidR="00B70B2A" w:rsidRDefault="00450528" w:rsidP="00B70B2A">
      <w:pPr>
        <w:spacing w:after="0"/>
        <w:jc w:val="center"/>
      </w:pPr>
      <w:r>
        <w:object w:dxaOrig="11767" w:dyaOrig="122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.95pt;height:262.35pt" o:ole="">
            <v:imagedata r:id="rId6" o:title=""/>
          </v:shape>
          <o:OLEObject Type="Embed" ProgID="Prism6.Document" ShapeID="_x0000_i1025" DrawAspect="Content" ObjectID="_1617112489" r:id="rId7"/>
        </w:object>
      </w:r>
    </w:p>
    <w:p w:rsidR="00876A16" w:rsidRDefault="00876A16" w:rsidP="00C300CC">
      <w:pPr>
        <w:pStyle w:val="Padro"/>
        <w:spacing w:after="0"/>
        <w:jc w:val="both"/>
        <w:rPr>
          <w:rFonts w:ascii="Times New Roman" w:hAnsi="Times New Roman" w:cs="Times New Roman"/>
        </w:rPr>
      </w:pPr>
      <w:r>
        <w:rPr>
          <w:b/>
        </w:rPr>
        <w:t xml:space="preserve">Figura 1: </w:t>
      </w:r>
      <w:r w:rsidR="005D1A88">
        <w:rPr>
          <w:rFonts w:ascii="Times New Roman" w:hAnsi="Times New Roman" w:cs="Times New Roman"/>
        </w:rPr>
        <w:t xml:space="preserve">Resultados do </w:t>
      </w:r>
      <w:r w:rsidR="005D1A88">
        <w:rPr>
          <w:rFonts w:ascii="Times New Roman" w:hAnsi="Times New Roman" w:cs="Times New Roman"/>
          <w:i/>
        </w:rPr>
        <w:t>s</w:t>
      </w:r>
      <w:r w:rsidR="005D1A88" w:rsidRPr="007E20BB">
        <w:rPr>
          <w:rFonts w:ascii="Times New Roman" w:hAnsi="Times New Roman" w:cs="Times New Roman"/>
          <w:i/>
        </w:rPr>
        <w:t>welling</w:t>
      </w:r>
      <w:r w:rsidR="005D1A88" w:rsidRPr="007E20BB">
        <w:rPr>
          <w:rFonts w:ascii="Times New Roman" w:hAnsi="Times New Roman" w:cs="Times New Roman"/>
        </w:rPr>
        <w:t xml:space="preserve"> mitocondrial</w:t>
      </w:r>
      <w:r w:rsidR="005D1A88">
        <w:rPr>
          <w:rFonts w:ascii="Times New Roman" w:hAnsi="Times New Roman" w:cs="Times New Roman"/>
        </w:rPr>
        <w:t xml:space="preserve"> (A)</w:t>
      </w:r>
      <w:r w:rsidR="005D1A88" w:rsidRPr="00070296">
        <w:rPr>
          <w:rFonts w:ascii="Times New Roman" w:hAnsi="Times New Roman" w:cs="Times New Roman"/>
        </w:rPr>
        <w:t xml:space="preserve"> </w:t>
      </w:r>
      <w:r w:rsidR="005D1A88">
        <w:rPr>
          <w:rFonts w:ascii="Times New Roman" w:hAnsi="Times New Roman" w:cs="Times New Roman"/>
        </w:rPr>
        <w:t>e efeito protetivo do</w:t>
      </w:r>
      <w:r w:rsidR="005D1A88" w:rsidRPr="0098621F">
        <w:rPr>
          <w:rFonts w:ascii="Times New Roman" w:hAnsi="Times New Roman" w:cs="Times New Roman"/>
        </w:rPr>
        <w:t xml:space="preserve"> </w:t>
      </w:r>
      <w:r w:rsidR="005D1A88" w:rsidRPr="00372449">
        <w:rPr>
          <w:rFonts w:ascii="Times New Roman" w:hAnsi="Times New Roman" w:cs="Times New Roman"/>
        </w:rPr>
        <w:t>GFC (garcinielliptona FC) em diferentes concentrações</w:t>
      </w:r>
      <w:r w:rsidR="005D1A88" w:rsidRPr="001310B5">
        <w:rPr>
          <w:rFonts w:ascii="Times New Roman" w:hAnsi="Times New Roman" w:cs="Times New Roman"/>
        </w:rPr>
        <w:t xml:space="preserve"> (0,1-3,0 </w:t>
      </w:r>
      <w:r w:rsidR="005D1A88" w:rsidRPr="001310B5">
        <w:rPr>
          <w:rStyle w:val="apple-style-span"/>
          <w:rFonts w:ascii="Times New Roman" w:hAnsi="Times New Roman" w:cs="Times New Roman"/>
        </w:rPr>
        <w:t>mM</w:t>
      </w:r>
      <w:r w:rsidR="005D1A88" w:rsidRPr="001310B5">
        <w:rPr>
          <w:rFonts w:ascii="Times New Roman" w:hAnsi="Times New Roman" w:cs="Times New Roman"/>
        </w:rPr>
        <w:t>)</w:t>
      </w:r>
      <w:r w:rsidR="005D1A88" w:rsidRPr="00070296">
        <w:rPr>
          <w:rFonts w:ascii="Times New Roman" w:hAnsi="Times New Roman" w:cs="Times New Roman"/>
        </w:rPr>
        <w:t xml:space="preserve"> </w:t>
      </w:r>
      <w:r w:rsidR="005D1A88">
        <w:rPr>
          <w:rFonts w:ascii="Times New Roman" w:hAnsi="Times New Roman" w:cs="Times New Roman"/>
        </w:rPr>
        <w:t xml:space="preserve">pela inibição do </w:t>
      </w:r>
      <w:bookmarkStart w:id="9" w:name="OLE_LINK24"/>
      <w:r w:rsidR="005D1A88">
        <w:rPr>
          <w:rFonts w:ascii="Times New Roman" w:hAnsi="Times New Roman" w:cs="Times New Roman"/>
          <w:i/>
        </w:rPr>
        <w:t>s</w:t>
      </w:r>
      <w:r w:rsidR="005D1A88" w:rsidRPr="007E20BB">
        <w:rPr>
          <w:rFonts w:ascii="Times New Roman" w:hAnsi="Times New Roman" w:cs="Times New Roman"/>
          <w:i/>
        </w:rPr>
        <w:t>welling</w:t>
      </w:r>
      <w:bookmarkEnd w:id="9"/>
      <w:r w:rsidR="005D1A88" w:rsidRPr="007E20BB">
        <w:rPr>
          <w:rFonts w:ascii="Times New Roman" w:hAnsi="Times New Roman" w:cs="Times New Roman"/>
        </w:rPr>
        <w:t xml:space="preserve"> mitocondrial</w:t>
      </w:r>
      <w:r w:rsidR="005D1A88">
        <w:rPr>
          <w:rFonts w:ascii="Times New Roman" w:hAnsi="Times New Roman" w:cs="Times New Roman"/>
        </w:rPr>
        <w:t xml:space="preserve"> induzida pelo </w:t>
      </w:r>
      <w:r w:rsidR="005D1A88" w:rsidRPr="000A4202">
        <w:rPr>
          <w:rFonts w:ascii="Times New Roman" w:hAnsi="Times New Roman" w:cs="Times New Roman"/>
        </w:rPr>
        <w:t>Fe</w:t>
      </w:r>
      <w:r w:rsidR="005D1A88" w:rsidRPr="00837064">
        <w:rPr>
          <w:rFonts w:ascii="Times New Roman" w:hAnsi="Times New Roman" w:cs="Times New Roman"/>
          <w:vertAlign w:val="superscript"/>
        </w:rPr>
        <w:t>2+</w:t>
      </w:r>
      <w:r w:rsidR="005D1A88" w:rsidRPr="000A4202">
        <w:rPr>
          <w:rFonts w:ascii="Times New Roman" w:hAnsi="Times New Roman" w:cs="Times New Roman"/>
        </w:rPr>
        <w:t>citrato</w:t>
      </w:r>
      <w:r w:rsidR="005D1A88" w:rsidRPr="00070296">
        <w:rPr>
          <w:rFonts w:ascii="Times New Roman" w:hAnsi="Times New Roman" w:cs="Times New Roman"/>
        </w:rPr>
        <w:t xml:space="preserve">. Os valores representam a média ± E.P.M. </w:t>
      </w:r>
      <w:r w:rsidR="005D1A88">
        <w:rPr>
          <w:rFonts w:ascii="Times New Roman" w:hAnsi="Times New Roman" w:cs="Times New Roman"/>
        </w:rPr>
        <w:t>(n = 5)</w:t>
      </w:r>
      <w:r w:rsidR="005D1A88" w:rsidRPr="00070296">
        <w:rPr>
          <w:rFonts w:ascii="Times New Roman" w:hAnsi="Times New Roman" w:cs="Times New Roman"/>
        </w:rPr>
        <w:t xml:space="preserve">, dos experimentos em duplicata. </w:t>
      </w:r>
      <w:r w:rsidR="005D1A88">
        <w:rPr>
          <w:rFonts w:ascii="Times New Roman" w:hAnsi="Times New Roman" w:cs="Times New Roman"/>
          <w:vertAlign w:val="superscript"/>
        </w:rPr>
        <w:t>*b</w:t>
      </w:r>
      <w:r w:rsidR="005D1A88" w:rsidRPr="00070296">
        <w:rPr>
          <w:rFonts w:ascii="Times New Roman" w:hAnsi="Times New Roman" w:cs="Times New Roman"/>
        </w:rPr>
        <w:t xml:space="preserve">p&lt;0,05 em relação ao controle </w:t>
      </w:r>
      <w:r w:rsidR="005D1A88" w:rsidRPr="00070296">
        <w:rPr>
          <w:rFonts w:ascii="Times New Roman" w:hAnsi="Times New Roman" w:cs="Times New Roman"/>
          <w:color w:val="000000"/>
        </w:rPr>
        <w:t>(</w:t>
      </w:r>
      <w:bookmarkStart w:id="10" w:name="OLE_LINK71"/>
      <w:r w:rsidR="005D1A88">
        <w:rPr>
          <w:rFonts w:ascii="Times New Roman" w:hAnsi="Times New Roman" w:cs="Times New Roman"/>
        </w:rPr>
        <w:t xml:space="preserve">sem adição do </w:t>
      </w:r>
      <w:r w:rsidR="005D1A88" w:rsidRPr="007C634E">
        <w:rPr>
          <w:rFonts w:ascii="Times New Roman" w:hAnsi="Times New Roman" w:cs="Times New Roman"/>
        </w:rPr>
        <w:t>Fe</w:t>
      </w:r>
      <w:r w:rsidR="005D1A88" w:rsidRPr="007C634E">
        <w:rPr>
          <w:rFonts w:ascii="Times New Roman" w:hAnsi="Times New Roman" w:cs="Times New Roman"/>
          <w:vertAlign w:val="superscript"/>
        </w:rPr>
        <w:t>2+</w:t>
      </w:r>
      <w:r w:rsidR="005D1A88">
        <w:rPr>
          <w:rFonts w:ascii="Times New Roman" w:hAnsi="Times New Roman" w:cs="Times New Roman"/>
        </w:rPr>
        <w:t>/</w:t>
      </w:r>
      <w:r w:rsidR="005D1A88" w:rsidRPr="007C634E">
        <w:rPr>
          <w:rFonts w:ascii="Times New Roman" w:hAnsi="Times New Roman" w:cs="Times New Roman"/>
        </w:rPr>
        <w:t>citrato</w:t>
      </w:r>
      <w:bookmarkEnd w:id="10"/>
      <w:r w:rsidR="005D1A88" w:rsidRPr="00070296">
        <w:rPr>
          <w:rFonts w:ascii="Times New Roman" w:hAnsi="Times New Roman" w:cs="Times New Roman"/>
          <w:color w:val="000000"/>
        </w:rPr>
        <w:t>)</w:t>
      </w:r>
      <w:r w:rsidR="005D1A88" w:rsidRPr="00070296">
        <w:rPr>
          <w:rFonts w:ascii="Times New Roman" w:hAnsi="Times New Roman" w:cs="Times New Roman"/>
        </w:rPr>
        <w:t xml:space="preserve"> (ANOVA e Neuman-Keuls como</w:t>
      </w:r>
      <w:r w:rsidR="005D1A88" w:rsidRPr="00070296">
        <w:rPr>
          <w:rFonts w:ascii="Times New Roman" w:hAnsi="Times New Roman" w:cs="Times New Roman"/>
          <w:i/>
        </w:rPr>
        <w:t xml:space="preserve"> post hoc </w:t>
      </w:r>
      <w:r w:rsidR="005D1A88" w:rsidRPr="00070296">
        <w:rPr>
          <w:rFonts w:ascii="Times New Roman" w:hAnsi="Times New Roman" w:cs="Times New Roman"/>
        </w:rPr>
        <w:t xml:space="preserve">teste). </w:t>
      </w:r>
      <w:r w:rsidR="005D1A88" w:rsidRPr="00B441CA">
        <w:rPr>
          <w:rFonts w:ascii="Times New Roman" w:hAnsi="Times New Roman" w:cs="Times New Roman"/>
          <w:vertAlign w:val="superscript"/>
        </w:rPr>
        <w:t>#</w:t>
      </w:r>
      <w:r w:rsidR="005D1A88" w:rsidRPr="00070296">
        <w:rPr>
          <w:rFonts w:ascii="Times New Roman" w:hAnsi="Times New Roman" w:cs="Times New Roman"/>
        </w:rPr>
        <w:t xml:space="preserve">p&lt;0,05 em relação ao </w:t>
      </w:r>
      <w:r w:rsidR="005D1A88">
        <w:rPr>
          <w:rFonts w:ascii="Times New Roman" w:hAnsi="Times New Roman" w:cs="Times New Roman"/>
        </w:rPr>
        <w:t>complexo</w:t>
      </w:r>
      <w:r w:rsidR="005D1A88" w:rsidRPr="000A4202">
        <w:rPr>
          <w:rFonts w:ascii="Times New Roman" w:hAnsi="Times New Roman" w:cs="Times New Roman"/>
        </w:rPr>
        <w:t xml:space="preserve"> </w:t>
      </w:r>
      <w:r w:rsidR="005D1A88" w:rsidRPr="005F605D">
        <w:rPr>
          <w:rFonts w:ascii="Times New Roman" w:hAnsi="Times New Roman" w:cs="Times New Roman"/>
        </w:rPr>
        <w:t>Fe</w:t>
      </w:r>
      <w:r w:rsidR="005D1A88" w:rsidRPr="005F605D">
        <w:rPr>
          <w:rFonts w:ascii="Times New Roman" w:hAnsi="Times New Roman" w:cs="Times New Roman"/>
          <w:vertAlign w:val="superscript"/>
        </w:rPr>
        <w:t>2+</w:t>
      </w:r>
      <w:r w:rsidR="005D1A88">
        <w:rPr>
          <w:rFonts w:ascii="Times New Roman" w:hAnsi="Times New Roman" w:cs="Times New Roman"/>
        </w:rPr>
        <w:t>/</w:t>
      </w:r>
      <w:r w:rsidR="005D1A88" w:rsidRPr="005F605D">
        <w:rPr>
          <w:rFonts w:ascii="Times New Roman" w:hAnsi="Times New Roman" w:cs="Times New Roman"/>
        </w:rPr>
        <w:t>citrato</w:t>
      </w:r>
      <w:r w:rsidR="005D1A88" w:rsidRPr="00070296">
        <w:rPr>
          <w:rFonts w:ascii="Times New Roman" w:hAnsi="Times New Roman" w:cs="Times New Roman"/>
        </w:rPr>
        <w:t xml:space="preserve"> (ANOVA e Neuman-Keuls como</w:t>
      </w:r>
      <w:r w:rsidR="005D1A88" w:rsidRPr="00070296">
        <w:rPr>
          <w:rFonts w:ascii="Times New Roman" w:hAnsi="Times New Roman" w:cs="Times New Roman"/>
          <w:i/>
        </w:rPr>
        <w:t xml:space="preserve"> post hoc </w:t>
      </w:r>
      <w:r w:rsidR="005D1A88">
        <w:rPr>
          <w:rFonts w:ascii="Times New Roman" w:hAnsi="Times New Roman" w:cs="Times New Roman"/>
        </w:rPr>
        <w:t>teste).</w:t>
      </w:r>
    </w:p>
    <w:p w:rsidR="00876A16" w:rsidRDefault="00876A16" w:rsidP="00C300CC">
      <w:pPr>
        <w:pStyle w:val="Padro"/>
        <w:spacing w:after="0"/>
        <w:jc w:val="both"/>
        <w:rPr>
          <w:rFonts w:ascii="Times New Roman" w:hAnsi="Times New Roman" w:cs="Times New Roman"/>
          <w:b/>
        </w:rPr>
      </w:pPr>
    </w:p>
    <w:p w:rsidR="00540276" w:rsidRDefault="006029E5" w:rsidP="00876A16">
      <w:pPr>
        <w:pStyle w:val="Padro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Conclusão</w:t>
      </w:r>
    </w:p>
    <w:p w:rsidR="00876A16" w:rsidRPr="00876A16" w:rsidRDefault="00876A16" w:rsidP="00876A16">
      <w:pPr>
        <w:pStyle w:val="Padro"/>
        <w:spacing w:after="0"/>
        <w:jc w:val="both"/>
      </w:pPr>
    </w:p>
    <w:p w:rsidR="00540276" w:rsidRDefault="00C40C12" w:rsidP="00540276">
      <w:pPr>
        <w:pStyle w:val="Padro"/>
        <w:ind w:firstLine="720"/>
        <w:jc w:val="both"/>
      </w:pPr>
      <w:r w:rsidRPr="00FA5A93">
        <w:rPr>
          <w:rFonts w:ascii="Times New Roman" w:hAnsi="Times New Roman" w:cs="Times New Roman"/>
        </w:rPr>
        <w:t xml:space="preserve">Em conclusão, </w:t>
      </w:r>
      <w:r>
        <w:rPr>
          <w:rFonts w:ascii="Times New Roman" w:hAnsi="Times New Roman" w:cs="Times New Roman"/>
        </w:rPr>
        <w:t xml:space="preserve">a </w:t>
      </w:r>
      <w:r w:rsidRPr="00372449">
        <w:rPr>
          <w:rFonts w:ascii="Times New Roman" w:hAnsi="Times New Roman" w:cs="Times New Roman"/>
        </w:rPr>
        <w:t>garcinielliptona FC</w:t>
      </w:r>
      <w:r w:rsidRPr="00FA5A93">
        <w:rPr>
          <w:rFonts w:ascii="Times New Roman" w:hAnsi="Times New Roman" w:cs="Times New Roman"/>
        </w:rPr>
        <w:t xml:space="preserve"> exerceu proteção </w:t>
      </w:r>
      <w:r>
        <w:rPr>
          <w:rFonts w:ascii="Times New Roman" w:hAnsi="Times New Roman" w:cs="Times New Roman"/>
        </w:rPr>
        <w:t>antioxidante</w:t>
      </w:r>
      <w:r w:rsidRPr="00FA5A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contra o </w:t>
      </w:r>
      <w:r w:rsidRPr="00914965">
        <w:rPr>
          <w:rFonts w:ascii="Times New Roman" w:hAnsi="Times New Roman" w:cs="Times New Roman"/>
        </w:rPr>
        <w:t xml:space="preserve">dano oxidativo induzido </w:t>
      </w:r>
      <w:r>
        <w:rPr>
          <w:rFonts w:ascii="Times New Roman" w:hAnsi="Times New Roman" w:cs="Times New Roman"/>
        </w:rPr>
        <w:t xml:space="preserve">pelo </w:t>
      </w:r>
      <w:r w:rsidR="003B6517">
        <w:rPr>
          <w:rFonts w:ascii="Times New Roman" w:hAnsi="Times New Roman" w:cs="Times New Roman"/>
        </w:rPr>
        <w:t>complexo</w:t>
      </w:r>
      <w:r w:rsidR="003B6517" w:rsidRPr="000A4202">
        <w:rPr>
          <w:rFonts w:ascii="Times New Roman" w:hAnsi="Times New Roman" w:cs="Times New Roman"/>
        </w:rPr>
        <w:t xml:space="preserve"> </w:t>
      </w:r>
      <w:r w:rsidR="003B6517" w:rsidRPr="005F605D">
        <w:rPr>
          <w:rFonts w:ascii="Times New Roman" w:hAnsi="Times New Roman" w:cs="Times New Roman"/>
        </w:rPr>
        <w:t>Fe</w:t>
      </w:r>
      <w:r w:rsidR="003B6517" w:rsidRPr="005F605D">
        <w:rPr>
          <w:rFonts w:ascii="Times New Roman" w:hAnsi="Times New Roman" w:cs="Times New Roman"/>
          <w:vertAlign w:val="superscript"/>
        </w:rPr>
        <w:t>2+</w:t>
      </w:r>
      <w:r w:rsidR="003B6517">
        <w:rPr>
          <w:rFonts w:ascii="Times New Roman" w:hAnsi="Times New Roman" w:cs="Times New Roman"/>
        </w:rPr>
        <w:t>/</w:t>
      </w:r>
      <w:r w:rsidR="003B6517" w:rsidRPr="005F605D">
        <w:rPr>
          <w:rFonts w:ascii="Times New Roman" w:hAnsi="Times New Roman" w:cs="Times New Roman"/>
        </w:rPr>
        <w:t>citrato</w:t>
      </w:r>
      <w:r>
        <w:rPr>
          <w:rFonts w:ascii="Times New Roman" w:hAnsi="Times New Roman" w:cs="Times New Roman"/>
        </w:rPr>
        <w:t xml:space="preserve"> em </w:t>
      </w:r>
      <w:r w:rsidR="003B6517">
        <w:rPr>
          <w:rFonts w:ascii="Times New Roman" w:hAnsi="Times New Roman" w:cs="Times New Roman"/>
        </w:rPr>
        <w:t>mitocôndrias isoladas de</w:t>
      </w:r>
      <w:r>
        <w:rPr>
          <w:rFonts w:ascii="Times New Roman" w:hAnsi="Times New Roman" w:cs="Times New Roman"/>
        </w:rPr>
        <w:t xml:space="preserve"> </w:t>
      </w:r>
      <w:r w:rsidRPr="00D040B7">
        <w:t>Ratos</w:t>
      </w:r>
      <w:r w:rsidRPr="008965DB">
        <w:rPr>
          <w:i/>
        </w:rPr>
        <w:t xml:space="preserve"> Wistar</w:t>
      </w:r>
      <w:r>
        <w:t>.</w:t>
      </w:r>
    </w:p>
    <w:p w:rsidR="00DE0CC0" w:rsidRPr="00DE0CC0" w:rsidRDefault="00DE0CC0" w:rsidP="00DE0CC0">
      <w:pPr>
        <w:pStyle w:val="Padro"/>
        <w:jc w:val="both"/>
        <w:rPr>
          <w:rFonts w:ascii="Times New Roman" w:eastAsia="Arial Unicode MS" w:hAnsi="Times New Roman" w:cs="Times New Roman"/>
          <w:b/>
          <w:shd w:val="clear" w:color="auto" w:fill="FFFFFF"/>
        </w:rPr>
      </w:pPr>
      <w:r w:rsidRPr="00DE0CC0">
        <w:rPr>
          <w:rFonts w:ascii="Times New Roman" w:hAnsi="Times New Roman" w:cs="Times New Roman"/>
          <w:b/>
          <w:spacing w:val="-1"/>
          <w:shd w:val="clear" w:color="auto" w:fill="FFFFFF"/>
        </w:rPr>
        <w:t>Agradecimentos</w:t>
      </w:r>
    </w:p>
    <w:p w:rsidR="00540276" w:rsidRPr="00D753E2" w:rsidRDefault="00F02726" w:rsidP="00540276">
      <w:pPr>
        <w:pStyle w:val="Padro"/>
        <w:jc w:val="both"/>
        <w:rPr>
          <w:b/>
          <w:shd w:val="clear" w:color="auto" w:fill="FFFFFF"/>
        </w:rPr>
      </w:pPr>
      <w:r w:rsidRPr="00D753E2">
        <w:rPr>
          <w:b/>
          <w:shd w:val="clear" w:color="auto" w:fill="FFFFFF"/>
        </w:rPr>
        <w:t>Referências</w:t>
      </w:r>
    </w:p>
    <w:p w:rsidR="000F4890" w:rsidRPr="00D753E2" w:rsidRDefault="00D01B66" w:rsidP="000F4890">
      <w:pPr>
        <w:pStyle w:val="EndNoteBibliography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753E2">
        <w:rPr>
          <w:rFonts w:ascii="Times New Roman" w:eastAsiaTheme="minorEastAsia" w:hAnsi="Times New Roman" w:cs="Times New Roman"/>
          <w:sz w:val="24"/>
          <w:szCs w:val="24"/>
          <w:lang w:val="pt-BR" w:eastAsia="pt-BR"/>
        </w:rPr>
        <w:t xml:space="preserve">MAIOLI, M. A.; ALVES, L. C.; CAMPANINI, A. L.; LIMA, M. C.; DORTA, D. J.; GROPPO, M.; CAVALHEIRO, A. J.; CURTI, C.; MINGATTO, F. E. Iron chelating-mediated antioxidant activity of Plectranthus barbatus extract on mitochondria. </w:t>
      </w:r>
      <w:r w:rsidRPr="00D753E2">
        <w:rPr>
          <w:rFonts w:ascii="Times New Roman" w:eastAsiaTheme="minorEastAsia" w:hAnsi="Times New Roman" w:cs="Times New Roman"/>
          <w:b/>
          <w:bCs/>
          <w:sz w:val="24"/>
          <w:szCs w:val="24"/>
          <w:lang w:val="pt-BR" w:eastAsia="pt-BR"/>
        </w:rPr>
        <w:t xml:space="preserve">Food Chemistry, </w:t>
      </w:r>
      <w:r w:rsidRPr="00D753E2">
        <w:rPr>
          <w:rFonts w:ascii="Times New Roman" w:eastAsiaTheme="minorEastAsia" w:hAnsi="Times New Roman" w:cs="Times New Roman"/>
          <w:sz w:val="24"/>
          <w:szCs w:val="24"/>
          <w:lang w:val="pt-BR" w:eastAsia="pt-BR"/>
        </w:rPr>
        <w:t>v. 122, n. 1, p. 203-208,  2010.</w:t>
      </w:r>
    </w:p>
    <w:p w:rsidR="00F90A4E" w:rsidRPr="000F4890" w:rsidRDefault="000F4890" w:rsidP="000F4890">
      <w:pPr>
        <w:pStyle w:val="EndNoteBibliography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753E2">
        <w:rPr>
          <w:rFonts w:ascii="Times New Roman" w:hAnsi="Times New Roman" w:cs="Times New Roman"/>
          <w:sz w:val="24"/>
          <w:szCs w:val="24"/>
          <w:lang w:val="pt-BR"/>
        </w:rPr>
        <w:t xml:space="preserve">SILVA, A. P. D. S. C. L.; OLIVEIRA, G. L. D. S.; MEDEIROS, S. C.; SOUSA, A. M. L.; LOPES, L. D. S.; DAVID, J. M.; JUNIOR, J. S. D. C.; DE FREITAS, R. M. Pre-clinical toxicology of garcinielliptone FC, a tautomeric pair of polyprenylated benzophenone, isolated from </w:t>
      </w:r>
      <w:r w:rsidRPr="00D753E2">
        <w:rPr>
          <w:rFonts w:ascii="Times New Roman" w:hAnsi="Times New Roman" w:cs="Times New Roman"/>
          <w:i/>
          <w:sz w:val="24"/>
          <w:szCs w:val="24"/>
          <w:lang w:val="pt-BR"/>
        </w:rPr>
        <w:t>Platonia insignis</w:t>
      </w:r>
      <w:r w:rsidRPr="00D753E2">
        <w:rPr>
          <w:rFonts w:ascii="Times New Roman" w:hAnsi="Times New Roman" w:cs="Times New Roman"/>
          <w:sz w:val="24"/>
          <w:szCs w:val="24"/>
          <w:lang w:val="pt-BR"/>
        </w:rPr>
        <w:t xml:space="preserve"> Mart seeds. </w:t>
      </w:r>
      <w:r w:rsidRPr="000F4890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Phytomedicine, </w:t>
      </w:r>
      <w:r w:rsidRPr="000F4890">
        <w:rPr>
          <w:rFonts w:ascii="Times New Roman" w:hAnsi="Times New Roman" w:cs="Times New Roman"/>
          <w:sz w:val="24"/>
          <w:szCs w:val="24"/>
          <w:lang w:val="pt-BR"/>
        </w:rPr>
        <w:t>v. 23, n. 5, p. 477-482, 2016.</w:t>
      </w:r>
    </w:p>
    <w:p w:rsidR="008921CB" w:rsidRDefault="006029E5">
      <w:pPr>
        <w:jc w:val="both"/>
      </w:pPr>
      <w:r>
        <w:rPr>
          <w:b/>
          <w:color w:val="00000A"/>
        </w:rPr>
        <w:t>Palavras-chaves:</w:t>
      </w:r>
      <w:r w:rsidR="00EC412B">
        <w:rPr>
          <w:b/>
          <w:color w:val="00000A"/>
        </w:rPr>
        <w:t xml:space="preserve"> </w:t>
      </w:r>
      <w:r w:rsidR="00EA71AE">
        <w:rPr>
          <w:rFonts w:eastAsia="Arial Unicode MS"/>
        </w:rPr>
        <w:t>A</w:t>
      </w:r>
      <w:r w:rsidR="00EA71AE" w:rsidRPr="001D5ED9">
        <w:rPr>
          <w:rFonts w:eastAsia="Arial Unicode MS"/>
        </w:rPr>
        <w:t>ntioxidante</w:t>
      </w:r>
      <w:r w:rsidR="00EA71AE">
        <w:t>;</w:t>
      </w:r>
      <w:r w:rsidR="00EA71AE" w:rsidRPr="001D5ED9">
        <w:t xml:space="preserve"> </w:t>
      </w:r>
      <w:r w:rsidR="00EA71AE">
        <w:t xml:space="preserve">eritrócitos; </w:t>
      </w:r>
      <w:r w:rsidR="00EA71AE" w:rsidRPr="00D326A8">
        <w:t>garcinielliptona FC</w:t>
      </w:r>
      <w:r>
        <w:rPr>
          <w:color w:val="00000A"/>
        </w:rPr>
        <w:t>.</w:t>
      </w:r>
    </w:p>
    <w:sectPr w:rsidR="008921CB">
      <w:headerReference w:type="default" r:id="rId8"/>
      <w:footerReference w:type="default" r:id="rId9"/>
      <w:pgSz w:w="11906" w:h="16838"/>
      <w:pgMar w:top="1418" w:right="1134" w:bottom="1418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782" w:rsidRDefault="007D0782" w:rsidP="00582FF2">
      <w:pPr>
        <w:spacing w:after="0" w:line="240" w:lineRule="auto"/>
      </w:pPr>
      <w:r>
        <w:separator/>
      </w:r>
    </w:p>
  </w:endnote>
  <w:endnote w:type="continuationSeparator" w:id="0">
    <w:p w:rsidR="007D0782" w:rsidRDefault="007D0782" w:rsidP="00582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A19" w:rsidRDefault="00037A19" w:rsidP="00037A19">
    <w:pPr>
      <w:pStyle w:val="Rodap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CEB67B">
          <wp:simplePos x="0" y="0"/>
          <wp:positionH relativeFrom="column">
            <wp:posOffset>408636</wp:posOffset>
          </wp:positionH>
          <wp:positionV relativeFrom="paragraph">
            <wp:posOffset>-672465</wp:posOffset>
          </wp:positionV>
          <wp:extent cx="5263515" cy="731520"/>
          <wp:effectExtent l="0" t="0" r="0" b="0"/>
          <wp:wrapSquare wrapText="bothSides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71783" r="-63" b="6253"/>
                  <a:stretch/>
                </pic:blipFill>
                <pic:spPr bwMode="auto">
                  <a:xfrm>
                    <a:off x="0" y="0"/>
                    <a:ext cx="526351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782" w:rsidRDefault="007D0782" w:rsidP="00582FF2">
      <w:pPr>
        <w:spacing w:after="0" w:line="240" w:lineRule="auto"/>
      </w:pPr>
      <w:r>
        <w:separator/>
      </w:r>
    </w:p>
  </w:footnote>
  <w:footnote w:type="continuationSeparator" w:id="0">
    <w:p w:rsidR="007D0782" w:rsidRDefault="007D0782" w:rsidP="00582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A19" w:rsidRDefault="00037A19" w:rsidP="00037A19">
    <w:pPr>
      <w:pStyle w:val="Cabealho"/>
    </w:pPr>
  </w:p>
  <w:p w:rsidR="00582FF2" w:rsidRPr="00582FF2" w:rsidRDefault="00037A19" w:rsidP="00037A19">
    <w:pPr>
      <w:pStyle w:val="Cabealho"/>
      <w:jc w:val="center"/>
      <w:rPr>
        <w:sz w:val="36"/>
      </w:rPr>
    </w:pPr>
    <w:r>
      <w:rPr>
        <w:noProof/>
      </w:rPr>
      <w:drawing>
        <wp:inline distT="0" distB="0" distL="0" distR="0" wp14:anchorId="1F870538" wp14:editId="4074951F">
          <wp:extent cx="5321300" cy="984250"/>
          <wp:effectExtent l="0" t="0" r="0" b="635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860" r="1447" b="39489"/>
                  <a:stretch/>
                </pic:blipFill>
                <pic:spPr bwMode="auto">
                  <a:xfrm>
                    <a:off x="0" y="0"/>
                    <a:ext cx="532130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1CB"/>
    <w:rsid w:val="0001613A"/>
    <w:rsid w:val="00037A19"/>
    <w:rsid w:val="0005141E"/>
    <w:rsid w:val="00054700"/>
    <w:rsid w:val="00055C6A"/>
    <w:rsid w:val="00061F94"/>
    <w:rsid w:val="000B2A83"/>
    <w:rsid w:val="000E7B14"/>
    <w:rsid w:val="000F4890"/>
    <w:rsid w:val="0010305B"/>
    <w:rsid w:val="00111D4F"/>
    <w:rsid w:val="00111E85"/>
    <w:rsid w:val="00122C5D"/>
    <w:rsid w:val="00133325"/>
    <w:rsid w:val="00153314"/>
    <w:rsid w:val="00172801"/>
    <w:rsid w:val="0017494A"/>
    <w:rsid w:val="001A007E"/>
    <w:rsid w:val="001A1C17"/>
    <w:rsid w:val="001C42D5"/>
    <w:rsid w:val="001C4B64"/>
    <w:rsid w:val="001F12E3"/>
    <w:rsid w:val="001F6283"/>
    <w:rsid w:val="00237954"/>
    <w:rsid w:val="00240215"/>
    <w:rsid w:val="00240B77"/>
    <w:rsid w:val="00262253"/>
    <w:rsid w:val="00296768"/>
    <w:rsid w:val="002C534A"/>
    <w:rsid w:val="0031405A"/>
    <w:rsid w:val="00320A82"/>
    <w:rsid w:val="00335B6F"/>
    <w:rsid w:val="00344601"/>
    <w:rsid w:val="00354461"/>
    <w:rsid w:val="003956E2"/>
    <w:rsid w:val="003978A7"/>
    <w:rsid w:val="003A256E"/>
    <w:rsid w:val="003A604B"/>
    <w:rsid w:val="003B6517"/>
    <w:rsid w:val="0040238A"/>
    <w:rsid w:val="00411F58"/>
    <w:rsid w:val="00425CD3"/>
    <w:rsid w:val="00450528"/>
    <w:rsid w:val="0046580A"/>
    <w:rsid w:val="00470149"/>
    <w:rsid w:val="004A0D19"/>
    <w:rsid w:val="004C1BC1"/>
    <w:rsid w:val="004C2CBE"/>
    <w:rsid w:val="0051257A"/>
    <w:rsid w:val="00533EE3"/>
    <w:rsid w:val="00540276"/>
    <w:rsid w:val="00553550"/>
    <w:rsid w:val="00574E22"/>
    <w:rsid w:val="00582FF2"/>
    <w:rsid w:val="005A1808"/>
    <w:rsid w:val="005B2065"/>
    <w:rsid w:val="005D06D0"/>
    <w:rsid w:val="005D1A88"/>
    <w:rsid w:val="006029E5"/>
    <w:rsid w:val="00604D88"/>
    <w:rsid w:val="00612F78"/>
    <w:rsid w:val="006405DC"/>
    <w:rsid w:val="00646095"/>
    <w:rsid w:val="00652450"/>
    <w:rsid w:val="006619D5"/>
    <w:rsid w:val="00674310"/>
    <w:rsid w:val="006B2243"/>
    <w:rsid w:val="0071056D"/>
    <w:rsid w:val="007626F9"/>
    <w:rsid w:val="00770D11"/>
    <w:rsid w:val="007739D1"/>
    <w:rsid w:val="00790C17"/>
    <w:rsid w:val="00794827"/>
    <w:rsid w:val="007B4676"/>
    <w:rsid w:val="007C2A92"/>
    <w:rsid w:val="007C3447"/>
    <w:rsid w:val="007D0782"/>
    <w:rsid w:val="007D478D"/>
    <w:rsid w:val="007D7B52"/>
    <w:rsid w:val="007E19D7"/>
    <w:rsid w:val="007E298E"/>
    <w:rsid w:val="007E56B3"/>
    <w:rsid w:val="007E5DD1"/>
    <w:rsid w:val="007E6C7D"/>
    <w:rsid w:val="007F5205"/>
    <w:rsid w:val="00806DC3"/>
    <w:rsid w:val="00866B3A"/>
    <w:rsid w:val="00876A16"/>
    <w:rsid w:val="00876CCF"/>
    <w:rsid w:val="008921CB"/>
    <w:rsid w:val="008A08C5"/>
    <w:rsid w:val="008C5811"/>
    <w:rsid w:val="008C6223"/>
    <w:rsid w:val="008D39C5"/>
    <w:rsid w:val="008D67FE"/>
    <w:rsid w:val="008D7327"/>
    <w:rsid w:val="008E10E7"/>
    <w:rsid w:val="00907587"/>
    <w:rsid w:val="00912BB8"/>
    <w:rsid w:val="009562A0"/>
    <w:rsid w:val="00987662"/>
    <w:rsid w:val="009A3B4D"/>
    <w:rsid w:val="009D0577"/>
    <w:rsid w:val="009E7676"/>
    <w:rsid w:val="00A2324A"/>
    <w:rsid w:val="00A307BF"/>
    <w:rsid w:val="00A33ADD"/>
    <w:rsid w:val="00A37FD9"/>
    <w:rsid w:val="00A44DD8"/>
    <w:rsid w:val="00A4756A"/>
    <w:rsid w:val="00A47A44"/>
    <w:rsid w:val="00A556DC"/>
    <w:rsid w:val="00A65DD7"/>
    <w:rsid w:val="00A767A5"/>
    <w:rsid w:val="00A77AA5"/>
    <w:rsid w:val="00A93270"/>
    <w:rsid w:val="00AC06A9"/>
    <w:rsid w:val="00AE2A7F"/>
    <w:rsid w:val="00AE64C5"/>
    <w:rsid w:val="00B203EF"/>
    <w:rsid w:val="00B21C3F"/>
    <w:rsid w:val="00B2410E"/>
    <w:rsid w:val="00B40FCB"/>
    <w:rsid w:val="00B70B2A"/>
    <w:rsid w:val="00B82FCD"/>
    <w:rsid w:val="00B947B0"/>
    <w:rsid w:val="00BB2A01"/>
    <w:rsid w:val="00BB5C7D"/>
    <w:rsid w:val="00BD11BB"/>
    <w:rsid w:val="00BE1274"/>
    <w:rsid w:val="00BE5199"/>
    <w:rsid w:val="00C300CC"/>
    <w:rsid w:val="00C32664"/>
    <w:rsid w:val="00C40C12"/>
    <w:rsid w:val="00C536B0"/>
    <w:rsid w:val="00C55271"/>
    <w:rsid w:val="00C6123E"/>
    <w:rsid w:val="00C75D8A"/>
    <w:rsid w:val="00C96BAA"/>
    <w:rsid w:val="00CD05C1"/>
    <w:rsid w:val="00CD5F1A"/>
    <w:rsid w:val="00CF2A04"/>
    <w:rsid w:val="00D01B66"/>
    <w:rsid w:val="00D03C5B"/>
    <w:rsid w:val="00D46A8F"/>
    <w:rsid w:val="00D668A9"/>
    <w:rsid w:val="00D753E2"/>
    <w:rsid w:val="00D921BE"/>
    <w:rsid w:val="00DD6EBE"/>
    <w:rsid w:val="00DE0CC0"/>
    <w:rsid w:val="00DF37B2"/>
    <w:rsid w:val="00E226B1"/>
    <w:rsid w:val="00E37799"/>
    <w:rsid w:val="00E40284"/>
    <w:rsid w:val="00E45F4F"/>
    <w:rsid w:val="00E84CA3"/>
    <w:rsid w:val="00EA1383"/>
    <w:rsid w:val="00EA71AE"/>
    <w:rsid w:val="00EB1975"/>
    <w:rsid w:val="00EC1770"/>
    <w:rsid w:val="00EC33BE"/>
    <w:rsid w:val="00EC412B"/>
    <w:rsid w:val="00EF30B0"/>
    <w:rsid w:val="00F02726"/>
    <w:rsid w:val="00F17D6E"/>
    <w:rsid w:val="00F3614D"/>
    <w:rsid w:val="00F46998"/>
    <w:rsid w:val="00F503DA"/>
    <w:rsid w:val="00F90A4E"/>
    <w:rsid w:val="00FA14BA"/>
    <w:rsid w:val="00FC690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4469F2"/>
  <w15:docId w15:val="{53007B53-9EDE-4472-936F-B6573973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tabs>
        <w:tab w:val="left" w:pos="720"/>
      </w:tabs>
      <w:suppressAutoHyphens/>
    </w:pPr>
    <w:rPr>
      <w:rFonts w:ascii="Times New Roman" w:eastAsia="WenQuanYi Micro Hei" w:hAnsi="Times New Roman" w:cs="Times New Roman"/>
      <w:color w:val="000000"/>
      <w:sz w:val="24"/>
      <w:szCs w:val="24"/>
      <w:lang w:eastAsia="en-US"/>
    </w:rPr>
  </w:style>
  <w:style w:type="paragraph" w:styleId="Ttulo1">
    <w:name w:val="heading 1"/>
    <w:basedOn w:val="Padro"/>
    <w:next w:val="Corpodetexto"/>
    <w:pPr>
      <w:spacing w:before="28" w:after="28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20"/>
      </w:tabs>
      <w:suppressAutoHyphens/>
    </w:pPr>
    <w:rPr>
      <w:rFonts w:ascii="Cambria" w:eastAsia="WenQuanYi Micro Hei" w:hAnsi="Cambria"/>
      <w:sz w:val="24"/>
      <w:szCs w:val="24"/>
      <w:lang w:eastAsia="en-US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hps">
    <w:name w:val="hps"/>
    <w:basedOn w:val="Fontepargpadro"/>
  </w:style>
  <w:style w:type="character" w:customStyle="1" w:styleId="shorttext">
    <w:name w:val="short_text"/>
    <w:basedOn w:val="Fontepargpadro"/>
  </w:style>
  <w:style w:type="character" w:customStyle="1" w:styleId="LinkdaInternet">
    <w:name w:val="Link da Internet"/>
    <w:basedOn w:val="Fontepargpadro"/>
    <w:rPr>
      <w:color w:val="0000FF"/>
      <w:u w:val="single"/>
      <w:lang w:val="pt-BR" w:eastAsia="pt-BR" w:bidi="pt-BR"/>
    </w:rPr>
  </w:style>
  <w:style w:type="character" w:customStyle="1" w:styleId="Ttulo1Char">
    <w:name w:val="Título 1 Char"/>
    <w:basedOn w:val="Fontepargpadro"/>
    <w:rPr>
      <w:rFonts w:ascii="Times New Roman" w:eastAsia="Times New Roman" w:hAnsi="Times New Roman" w:cs="Times New Roman"/>
      <w:b/>
      <w:bCs/>
      <w:sz w:val="48"/>
      <w:szCs w:val="48"/>
      <w:lang w:eastAsia="pt-BR"/>
    </w:rPr>
  </w:style>
  <w:style w:type="character" w:customStyle="1" w:styleId="apple-style-span">
    <w:name w:val="apple-style-span"/>
    <w:basedOn w:val="Fontepargpadro"/>
  </w:style>
  <w:style w:type="character" w:styleId="nfase">
    <w:name w:val="Emphasis"/>
    <w:uiPriority w:val="20"/>
    <w:qFormat/>
    <w:rPr>
      <w:i/>
      <w:iCs/>
    </w:rPr>
  </w:style>
  <w:style w:type="character" w:customStyle="1" w:styleId="nfaseforte">
    <w:name w:val="Ênfase forte"/>
    <w:basedOn w:val="Fontepargpadro"/>
    <w:rPr>
      <w:b/>
      <w:bCs/>
    </w:rPr>
  </w:style>
  <w:style w:type="character" w:customStyle="1" w:styleId="apple-converted-space">
    <w:name w:val="apple-converted-space"/>
    <w:basedOn w:val="Fontepargpadro"/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Padro"/>
    <w:pPr>
      <w:suppressLineNumbers/>
    </w:pPr>
    <w:rPr>
      <w:rFonts w:cs="Lohit Hindi"/>
    </w:rPr>
  </w:style>
  <w:style w:type="paragraph" w:styleId="NormalWeb">
    <w:name w:val="Normal (Web)"/>
    <w:basedOn w:val="Padro"/>
    <w:pPr>
      <w:spacing w:before="28" w:after="28"/>
    </w:pPr>
    <w:rPr>
      <w:rFonts w:ascii="Times" w:hAnsi="Times" w:cs="Times New Roman"/>
      <w:sz w:val="20"/>
      <w:szCs w:val="20"/>
    </w:rPr>
  </w:style>
  <w:style w:type="paragraph" w:styleId="Textodebalo">
    <w:name w:val="Balloon Text"/>
    <w:basedOn w:val="Padro"/>
    <w:rPr>
      <w:rFonts w:ascii="Tahoma" w:hAnsi="Tahoma" w:cs="Tahoma"/>
      <w:sz w:val="16"/>
      <w:szCs w:val="16"/>
    </w:rPr>
  </w:style>
  <w:style w:type="paragraph" w:customStyle="1" w:styleId="TAMainText">
    <w:name w:val="TA_Main_Text"/>
    <w:basedOn w:val="Padro"/>
    <w:pPr>
      <w:spacing w:line="240" w:lineRule="exact"/>
      <w:ind w:firstLine="202"/>
      <w:jc w:val="both"/>
    </w:pPr>
    <w:rPr>
      <w:rFonts w:ascii="Times" w:eastAsia="Times New Roman" w:hAnsi="Times" w:cs="Times"/>
      <w:sz w:val="20"/>
      <w:szCs w:val="20"/>
      <w:lang w:val="en-US"/>
    </w:rPr>
  </w:style>
  <w:style w:type="paragraph" w:customStyle="1" w:styleId="svarticle">
    <w:name w:val="svarticle"/>
    <w:basedOn w:val="Padro"/>
    <w:pPr>
      <w:spacing w:before="28" w:after="28"/>
    </w:pPr>
    <w:rPr>
      <w:rFonts w:ascii="Times New Roman" w:eastAsia="Times New Roman" w:hAnsi="Times New Roman" w:cs="Times New Roman"/>
      <w:lang w:eastAsia="pt-BR"/>
    </w:rPr>
  </w:style>
  <w:style w:type="paragraph" w:customStyle="1" w:styleId="Default">
    <w:name w:val="Default"/>
    <w:rsid w:val="00A767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C75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40276"/>
    <w:rPr>
      <w:color w:val="0000FF" w:themeColor="hyperlink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0F4890"/>
    <w:pPr>
      <w:tabs>
        <w:tab w:val="clear" w:pos="720"/>
      </w:tabs>
      <w:suppressAutoHyphens w:val="0"/>
      <w:spacing w:line="240" w:lineRule="auto"/>
    </w:pPr>
    <w:rPr>
      <w:rFonts w:ascii="Calibri" w:eastAsiaTheme="minorHAnsi" w:hAnsi="Calibri" w:cstheme="minorBidi"/>
      <w:noProof/>
      <w:color w:val="auto"/>
      <w:sz w:val="22"/>
      <w:szCs w:val="22"/>
      <w:lang w:val="en-US"/>
    </w:rPr>
  </w:style>
  <w:style w:type="character" w:customStyle="1" w:styleId="EndNoteBibliographyChar">
    <w:name w:val="EndNote Bibliography Char"/>
    <w:basedOn w:val="Fontepargpadro"/>
    <w:link w:val="EndNoteBibliography"/>
    <w:rsid w:val="000F4890"/>
    <w:rPr>
      <w:rFonts w:ascii="Calibri" w:eastAsiaTheme="minorHAnsi" w:hAnsi="Calibri"/>
      <w:noProof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582FF2"/>
    <w:pPr>
      <w:tabs>
        <w:tab w:val="clear" w:pos="720"/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2FF2"/>
    <w:rPr>
      <w:rFonts w:ascii="Times New Roman" w:eastAsia="WenQuanYi Micro Hei" w:hAnsi="Times New Roman" w:cs="Times New Roman"/>
      <w:color w:val="000000"/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82FF2"/>
    <w:pPr>
      <w:tabs>
        <w:tab w:val="clear" w:pos="720"/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2FF2"/>
    <w:rPr>
      <w:rFonts w:ascii="Times New Roman" w:eastAsia="WenQuanYi Micro He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673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Rivelilson Freitas</dc:creator>
  <cp:lastModifiedBy>GEORGE LAYLSON GEORGE</cp:lastModifiedBy>
  <cp:revision>3</cp:revision>
  <dcterms:created xsi:type="dcterms:W3CDTF">2019-03-24T16:17:00Z</dcterms:created>
  <dcterms:modified xsi:type="dcterms:W3CDTF">2019-04-18T20:08:00Z</dcterms:modified>
</cp:coreProperties>
</file>